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P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32"/>
          <w:szCs w:val="32"/>
          <w:u w:val="single"/>
          <w:lang w:val="it-IT"/>
        </w:rPr>
      </w:pPr>
      <w:r w:rsidRPr="00317CBE">
        <w:rPr>
          <w:rFonts w:ascii="Calibri" w:hAnsi="Calibri" w:cs="Arial"/>
          <w:b/>
          <w:sz w:val="32"/>
          <w:szCs w:val="32"/>
          <w:u w:val="single"/>
          <w:lang w:val="it-IT"/>
        </w:rPr>
        <w:t>NEL CASO DI NON UTILIZZO DI ECVET</w:t>
      </w: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</w:p>
    <w:p w:rsidR="00F35D23" w:rsidRPr="00317CBE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</w:t>
      </w: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Default="0008195C" w:rsidP="00317CBE">
      <w:pPr>
        <w:jc w:val="center"/>
        <w:rPr>
          <w:rFonts w:ascii="Arial" w:hAnsi="Arial" w:cs="Arial"/>
          <w:b/>
          <w:u w:val="single"/>
        </w:rPr>
      </w:pPr>
      <w:r w:rsidRPr="00847C49">
        <w:rPr>
          <w:rFonts w:ascii="Arial" w:hAnsi="Arial" w:cs="Arial"/>
          <w:b/>
          <w:u w:val="single"/>
        </w:rPr>
        <w:t xml:space="preserve">ERASMUS + LEARNING AGREEMENT </w:t>
      </w:r>
    </w:p>
    <w:p w:rsidR="00F35D23" w:rsidRPr="0008195C" w:rsidRDefault="00F35D23" w:rsidP="00317CBE">
      <w:pPr>
        <w:jc w:val="center"/>
        <w:rPr>
          <w:rFonts w:ascii="Calibri" w:hAnsi="Calibri" w:cs="Arial"/>
          <w:b/>
          <w:sz w:val="22"/>
          <w:szCs w:val="22"/>
        </w:rPr>
      </w:pPr>
    </w:p>
    <w:p w:rsidR="008D27AF" w:rsidRPr="00847C49" w:rsidRDefault="008D27AF" w:rsidP="008D27AF">
      <w:pPr>
        <w:jc w:val="center"/>
        <w:rPr>
          <w:rFonts w:ascii="Arial" w:hAnsi="Arial" w:cs="Arial"/>
          <w:b/>
          <w:u w:val="single"/>
        </w:rPr>
      </w:pPr>
    </w:p>
    <w:p w:rsidR="008D27AF" w:rsidRPr="0048070E" w:rsidRDefault="008D27AF" w:rsidP="008D27AF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I. DETAILS ON THE PARTICIPANT</w:t>
      </w:r>
    </w:p>
    <w:tbl>
      <w:tblPr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48070E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Name of the participant: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0"/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Field of vocational education: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person (name, function, e-mail, tel):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392DCC" w:rsidRDefault="00392DCC" w:rsidP="00392DCC">
      <w:pPr>
        <w:rPr>
          <w:b/>
        </w:rPr>
      </w:pP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II. DETAILS OF THE PROPOSED TRAINING PROGRAMME ABROAD</w:t>
      </w:r>
    </w:p>
    <w:tbl>
      <w:tblPr>
        <w:tblW w:w="955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1"/>
            <w:r w:rsidRPr="0048070E">
              <w:rPr>
                <w:rFonts w:ascii="Arial" w:hAnsi="Arial" w:cs="Arial"/>
              </w:rPr>
              <w:t xml:space="preserve"> 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Person (name, function, e-mail, tel):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55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60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Knowledge, skills and competence to be acquired</w:t>
            </w:r>
            <w:r w:rsidRPr="0048070E">
              <w:rPr>
                <w:rFonts w:ascii="Arial" w:hAnsi="Arial" w:cs="Arial"/>
              </w:rPr>
              <w:t xml:space="preserve">: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Detailed programme of the training period</w:t>
            </w:r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Tasks of the trainee</w:t>
            </w:r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Monitoring and Mentoring of the participant</w:t>
            </w:r>
            <w:r w:rsidRPr="0048070E">
              <w:rPr>
                <w:rFonts w:ascii="Arial" w:hAnsi="Arial" w:cs="Arial"/>
              </w:rPr>
              <w:t>: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Evaluation and Validation of the training placement</w:t>
            </w:r>
            <w:r w:rsidRPr="0048070E">
              <w:rPr>
                <w:rFonts w:ascii="Arial" w:hAnsi="Arial" w:cs="Arial"/>
              </w:rPr>
              <w:t xml:space="preserve">:  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</w:tr>
    </w:tbl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8D27AF" w:rsidRPr="0048070E" w:rsidRDefault="008D27AF" w:rsidP="00392DCC">
      <w:pPr>
        <w:ind w:left="-567" w:firstLine="567"/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III.   COMMITMENT OF THE PARTIES INVOLVED</w:t>
      </w: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</w:rPr>
        <w:t>(</w:t>
      </w:r>
      <w:r w:rsidRPr="0048070E">
        <w:rPr>
          <w:rFonts w:ascii="Arial" w:hAnsi="Arial" w:cs="Arial"/>
          <w:i/>
        </w:rPr>
        <w:t>and the intermediary organisation if applicable)</w:t>
      </w:r>
      <w:r w:rsidRPr="0048070E">
        <w:rPr>
          <w:rFonts w:ascii="Arial" w:hAnsi="Arial" w:cs="Arial"/>
          <w:b/>
          <w:i/>
        </w:rPr>
        <w:t>*</w:t>
      </w:r>
      <w:r w:rsidRPr="0048070E">
        <w:rPr>
          <w:rFonts w:ascii="Arial" w:hAnsi="Arial" w:cs="Arial"/>
          <w:b/>
        </w:rPr>
        <w:t xml:space="preserve"> confirm that they will abide by the principles of the Quality Commitment for </w:t>
      </w:r>
      <w:r w:rsidR="001E50C5">
        <w:rPr>
          <w:rFonts w:ascii="Arial" w:hAnsi="Arial" w:cs="Arial"/>
          <w:b/>
        </w:rPr>
        <w:t>VET Mobility projects</w:t>
      </w:r>
      <w:r w:rsidRPr="0048070E">
        <w:rPr>
          <w:rFonts w:ascii="Arial" w:hAnsi="Arial" w:cs="Arial"/>
          <w:b/>
        </w:rPr>
        <w:t xml:space="preserve"> attached below.</w:t>
      </w:r>
    </w:p>
    <w:p w:rsidR="008D27AF" w:rsidRDefault="008D27AF" w:rsidP="008D27AF">
      <w:pPr>
        <w:rPr>
          <w:rFonts w:ascii="Arial" w:hAnsi="Arial" w:cs="Arial"/>
          <w:i/>
        </w:rPr>
      </w:pPr>
      <w:r w:rsidRPr="0048070E">
        <w:rPr>
          <w:rFonts w:ascii="Arial" w:hAnsi="Arial" w:cs="Arial"/>
        </w:rPr>
        <w:t>*</w:t>
      </w:r>
      <w:r w:rsidRPr="0048070E">
        <w:rPr>
          <w:rFonts w:ascii="Arial" w:hAnsi="Arial" w:cs="Arial"/>
          <w:i/>
        </w:rPr>
        <w:t>please add a box below for the signature of the intermediary organisation – if applicable</w:t>
      </w:r>
    </w:p>
    <w:p w:rsidR="00392DCC" w:rsidRPr="0048070E" w:rsidRDefault="00392DCC" w:rsidP="008D27AF">
      <w:pPr>
        <w:rPr>
          <w:rFonts w:ascii="Arial" w:hAnsi="Arial" w:cs="Arial"/>
          <w:i/>
        </w:rPr>
      </w:pP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9419"/>
      </w:tblGrid>
      <w:tr w:rsidR="008D27AF" w:rsidRPr="0048070E" w:rsidTr="00392DCC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48070E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Participant’s signature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  <w:lang w:val="fr-BE"/>
        </w:rPr>
      </w:pPr>
    </w:p>
    <w:tbl>
      <w:tblPr>
        <w:tblW w:w="947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3"/>
        <w:gridCol w:w="5246"/>
      </w:tblGrid>
      <w:tr w:rsidR="008D27AF" w:rsidRPr="0048070E" w:rsidTr="00392DCC">
        <w:trPr>
          <w:trHeight w:val="1446"/>
          <w:jc w:val="center"/>
        </w:trPr>
        <w:tc>
          <w:tcPr>
            <w:tcW w:w="9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>THE SENDING INSTITUTION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We confirm that this proposed training programme agreement is approved.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</w:rPr>
              <w:t>other form of validation/recognition…</w:t>
            </w:r>
            <w:r w:rsidRPr="0048070E">
              <w:rPr>
                <w:rFonts w:ascii="Arial" w:hAnsi="Arial" w:cs="Arial"/>
              </w:rPr>
              <w:t>] to the participant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</w:tc>
      </w:tr>
      <w:tr w:rsidR="008D27AF" w:rsidRPr="0048070E" w:rsidTr="00392DCC">
        <w:trPr>
          <w:trHeight w:val="1124"/>
          <w:jc w:val="center"/>
        </w:trPr>
        <w:tc>
          <w:tcPr>
            <w:tcW w:w="4233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Coordinator’s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  <w:r w:rsidRPr="0048070E">
        <w:rPr>
          <w:rFonts w:ascii="Arial" w:hAnsi="Arial" w:cs="Arial"/>
        </w:rPr>
        <w:tab/>
      </w:r>
    </w:p>
    <w:tbl>
      <w:tblPr>
        <w:tblW w:w="9461" w:type="dxa"/>
        <w:jc w:val="center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8D27AF" w:rsidRPr="0048070E" w:rsidTr="00392DCC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</w:rPr>
                <w:t>OR</w:t>
              </w:r>
            </w:smartTag>
            <w:r w:rsidRPr="0048070E">
              <w:rPr>
                <w:rFonts w:ascii="Arial" w:hAnsi="Arial" w:cs="Arial"/>
                <w:b/>
              </w:rPr>
              <w:t>GANISATION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We confirm that this proposed training programme is approved.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</w:rPr>
              <w:t>a Certificate</w:t>
            </w:r>
            <w:r w:rsidRPr="0048070E">
              <w:rPr>
                <w:rFonts w:ascii="Arial" w:hAnsi="Arial" w:cs="Arial"/>
              </w:rPr>
              <w:t xml:space="preserve"> …] to the participant</w:t>
            </w:r>
          </w:p>
        </w:tc>
      </w:tr>
      <w:tr w:rsidR="008D27AF" w:rsidRPr="0048070E" w:rsidTr="00392DCC">
        <w:trPr>
          <w:trHeight w:val="1360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Coordinator’s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Default="008D27AF" w:rsidP="008D27AF"/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08195C" w:rsidRDefault="0008195C" w:rsidP="00317CBE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 xml:space="preserve"> II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08195C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317CBE" w:rsidRDefault="0008195C" w:rsidP="0008195C">
      <w:pPr>
        <w:jc w:val="center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17CBE">
        <w:rPr>
          <w:rFonts w:ascii="Calibri" w:hAnsi="Calibri" w:cs="Arial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08195C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1907" w:h="16840" w:code="9"/>
          <w:pgMar w:top="568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CF115E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</w:t>
      </w:r>
      <w:r w:rsidR="00317CBE">
        <w:rPr>
          <w:rFonts w:asciiTheme="minorHAnsi" w:hAnsiTheme="minorHAnsi"/>
          <w:sz w:val="22"/>
          <w:szCs w:val="22"/>
          <w:lang w:val="it-IT"/>
        </w:rPr>
        <w:t xml:space="preserve">e somma dovrà essere restituita, </w:t>
      </w:r>
      <w:r w:rsidR="00B61E34">
        <w:rPr>
          <w:rFonts w:asciiTheme="minorHAnsi" w:hAnsiTheme="minorHAnsi"/>
          <w:sz w:val="22"/>
          <w:szCs w:val="22"/>
          <w:lang w:val="it-IT"/>
        </w:rPr>
        <w:t>salvo diversamente concordato con l’Organismo</w:t>
      </w:r>
      <w:r w:rsidR="00B61E34"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 dati personali presenti nel contratto saranno trattati in accordo con il Regolamento (EC) n° </w:t>
      </w:r>
      <w:r w:rsidR="00B61E34">
        <w:rPr>
          <w:rFonts w:asciiTheme="minorHAnsi" w:hAnsiTheme="minorHAnsi"/>
          <w:sz w:val="22"/>
          <w:szCs w:val="22"/>
          <w:lang w:val="it-IT"/>
        </w:rPr>
        <w:t>2018/1725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del Parlamento europeo e del Consiglio</w:t>
      </w:r>
      <w:r w:rsidR="00337EB8" w:rsidRPr="00337EB8">
        <w:rPr>
          <w:rFonts w:cs="Arial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>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</w:t>
      </w:r>
      <w:r w:rsidR="00B1335F">
        <w:rPr>
          <w:rFonts w:asciiTheme="minorHAnsi" w:hAnsiTheme="minorHAnsi"/>
          <w:sz w:val="22"/>
          <w:szCs w:val="22"/>
          <w:lang w:val="it-IT"/>
        </w:rPr>
        <w:t xml:space="preserve"> all’Organismo e/o all’Agenzia Nazionale</w:t>
      </w:r>
      <w:r w:rsidRPr="00F51A5E">
        <w:rPr>
          <w:rFonts w:asciiTheme="minorHAnsi" w:hAnsiTheme="minorHAnsi"/>
          <w:sz w:val="22"/>
          <w:szCs w:val="22"/>
          <w:lang w:val="it-IT"/>
        </w:rPr>
        <w:t>. Il partecipante può presentare un reclamo</w:t>
      </w:r>
      <w:r w:rsidR="00B1335F">
        <w:rPr>
          <w:rFonts w:asciiTheme="minorHAnsi" w:hAnsiTheme="minorHAnsi"/>
          <w:sz w:val="22"/>
          <w:szCs w:val="22"/>
          <w:lang w:val="it-IT"/>
        </w:rPr>
        <w:t xml:space="preserve">, riguardo </w:t>
      </w:r>
      <w:r w:rsidR="00AC530E">
        <w:rPr>
          <w:rFonts w:asciiTheme="minorHAnsi" w:hAnsiTheme="minorHAnsi"/>
          <w:sz w:val="22"/>
          <w:szCs w:val="22"/>
          <w:lang w:val="it-IT"/>
        </w:rPr>
        <w:t>il trattamento</w:t>
      </w:r>
      <w:bookmarkStart w:id="2" w:name="_GoBack"/>
      <w:bookmarkEnd w:id="2"/>
      <w:r w:rsidR="00B1335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>dei</w:t>
      </w:r>
      <w:r w:rsidR="00B1335F">
        <w:rPr>
          <w:rFonts w:asciiTheme="minorHAnsi" w:hAnsiTheme="minorHAnsi"/>
          <w:sz w:val="22"/>
          <w:szCs w:val="22"/>
          <w:lang w:val="it-IT"/>
        </w:rPr>
        <w:t xml:space="preserve"> suoi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dati sensibili</w:t>
      </w:r>
      <w:r w:rsidR="00B1335F">
        <w:rPr>
          <w:rFonts w:asciiTheme="minorHAnsi" w:hAnsiTheme="minorHAnsi"/>
          <w:sz w:val="22"/>
          <w:szCs w:val="22"/>
          <w:lang w:val="it-IT"/>
        </w:rPr>
        <w:t>,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871C2F">
        <w:rPr>
          <w:rFonts w:ascii="Calibri" w:hAnsi="Calibri"/>
          <w:sz w:val="22"/>
          <w:szCs w:val="22"/>
          <w:lang w:val="it-IT"/>
        </w:rPr>
        <w:lastRenderedPageBreak/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5073F4">
        <w:rPr>
          <w:rFonts w:ascii="Calibri" w:hAnsi="Calibri"/>
          <w:sz w:val="22"/>
          <w:szCs w:val="22"/>
          <w:lang w:val="it-IT"/>
        </w:rPr>
        <w:t>O</w:t>
      </w:r>
      <w:r w:rsidRPr="00871C2F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08195C" w:rsidRDefault="0008195C" w:rsidP="0008195C">
      <w:pPr>
        <w:jc w:val="both"/>
        <w:rPr>
          <w:rFonts w:ascii="Calibri" w:hAnsi="Calibri"/>
          <w:sz w:val="22"/>
          <w:szCs w:val="22"/>
          <w:lang w:val="it-IT"/>
        </w:rPr>
      </w:pPr>
    </w:p>
    <w:p w:rsidR="0008195C" w:rsidRDefault="0008195C">
      <w:pPr>
        <w:spacing w:after="200" w:line="276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F35D23" w:rsidRPr="00317CBE" w:rsidRDefault="0008195C" w:rsidP="000340C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III</w:t>
      </w:r>
    </w:p>
    <w:p w:rsidR="00392DCC" w:rsidRPr="00317CBE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392DCC" w:rsidRPr="0008195C" w:rsidRDefault="00392DCC" w:rsidP="00392DC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Erasmus + VET Mobility</w:t>
      </w:r>
    </w:p>
    <w:p w:rsidR="00392DCC" w:rsidRPr="0008195C" w:rsidRDefault="00392DCC" w:rsidP="00392DCC">
      <w:pPr>
        <w:jc w:val="center"/>
        <w:rPr>
          <w:rFonts w:ascii="Verdana" w:hAnsi="Verdana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 Commitment</w:t>
      </w:r>
      <w:r w:rsidRPr="0008195C">
        <w:rPr>
          <w:sz w:val="24"/>
          <w:szCs w:val="24"/>
          <w:u w:val="single"/>
        </w:rPr>
        <w:tab/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must be made (eg those with special learning needs or those with physical disabilities).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organization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392DCC" w:rsidRPr="00F01AA9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and the host organization.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organization, the assessment of the learning outcomes, picking up on the informal and non-formal learning where possible.  Recognize  learning outcomes which were not originally planned but still achieved during the mobility. </w:t>
      </w:r>
    </w:p>
    <w:p w:rsidR="00392DCC" w:rsidRPr="002D1582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Europass or other certificates. </w:t>
      </w:r>
    </w:p>
    <w:p w:rsidR="00392DCC" w:rsidRPr="000C7C7B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>
        <w:rPr>
          <w:i/>
        </w:rPr>
        <w:t xml:space="preserve">bjectives and desired results. </w:t>
      </w:r>
    </w:p>
    <w:p w:rsidR="00392DCC" w:rsidRPr="000C7C7B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B435CF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4555B">
        <w:rPr>
          <w:b/>
          <w:i/>
        </w:rPr>
        <w:lastRenderedPageBreak/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 xml:space="preserve">monitoring and mentoring arrangements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 xml:space="preserve">the progress of the mobility on an on-going basis and take appropriate action if required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:rsidR="00392DCC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Pr="008713A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392DCC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Pr="00E1594A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392DC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numPr>
          <w:ilvl w:val="0"/>
          <w:numId w:val="5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organization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Default="00392DCC" w:rsidP="00392DC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392DCC" w:rsidRDefault="00392DCC" w:rsidP="00392DCC"/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Sending Organization,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</w:t>
      </w:r>
      <w:r w:rsidRPr="00871C2F">
        <w:rPr>
          <w:i/>
        </w:rPr>
        <w:t>optional</w:t>
      </w:r>
      <w:r>
        <w:t>),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6A6376" w:rsidRDefault="006A6376"/>
    <w:sectPr w:rsidR="006A6376" w:rsidSect="0008195C">
      <w:headerReference w:type="default" r:id="rId10"/>
      <w:footerReference w:type="default" r:id="rId11"/>
      <w:footnotePr>
        <w:pos w:val="beneathText"/>
      </w:footnotePr>
      <w:type w:val="continuous"/>
      <w:pgSz w:w="11907" w:h="16840" w:code="9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0A" w:rsidRDefault="00E1700A" w:rsidP="0008195C">
      <w:r>
        <w:separator/>
      </w:r>
    </w:p>
  </w:endnote>
  <w:endnote w:type="continuationSeparator" w:id="0">
    <w:p w:rsidR="00E1700A" w:rsidRDefault="00E1700A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EB" w:rsidRDefault="0036248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DB44EB" w:rsidRDefault="00E1700A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Pr="009A6788" w:rsidRDefault="00E1700A" w:rsidP="009A6788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C530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Default="00E17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0A" w:rsidRDefault="00E1700A" w:rsidP="0008195C">
      <w:r>
        <w:separator/>
      </w:r>
    </w:p>
  </w:footnote>
  <w:footnote w:type="continuationSeparator" w:id="0">
    <w:p w:rsidR="00E1700A" w:rsidRDefault="00E1700A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EB" w:rsidRDefault="00E1700A" w:rsidP="00CF1D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020128"/>
    <w:rsid w:val="000340C9"/>
    <w:rsid w:val="000651EB"/>
    <w:rsid w:val="0008195C"/>
    <w:rsid w:val="00100878"/>
    <w:rsid w:val="00121446"/>
    <w:rsid w:val="001E50C5"/>
    <w:rsid w:val="002078B8"/>
    <w:rsid w:val="00207AF4"/>
    <w:rsid w:val="00243741"/>
    <w:rsid w:val="00265322"/>
    <w:rsid w:val="00317CBE"/>
    <w:rsid w:val="00325466"/>
    <w:rsid w:val="00337EB8"/>
    <w:rsid w:val="00362486"/>
    <w:rsid w:val="00392DCC"/>
    <w:rsid w:val="005073F4"/>
    <w:rsid w:val="00514DA2"/>
    <w:rsid w:val="005A2402"/>
    <w:rsid w:val="006A6376"/>
    <w:rsid w:val="00743378"/>
    <w:rsid w:val="0076573D"/>
    <w:rsid w:val="00797CCD"/>
    <w:rsid w:val="00871C2F"/>
    <w:rsid w:val="008D27AF"/>
    <w:rsid w:val="0093780E"/>
    <w:rsid w:val="00AB2CFD"/>
    <w:rsid w:val="00AC530E"/>
    <w:rsid w:val="00B1335F"/>
    <w:rsid w:val="00B61E34"/>
    <w:rsid w:val="00CF115E"/>
    <w:rsid w:val="00D718CF"/>
    <w:rsid w:val="00E1700A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1429C39-EBFC-479C-A7C4-8B6A4D3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7EB8"/>
    <w:pPr>
      <w:spacing w:after="200" w:line="276" w:lineRule="auto"/>
    </w:pPr>
    <w:rPr>
      <w:rFonts w:ascii="Calibri" w:eastAsia="Calibri" w:hAnsi="Calibri"/>
      <w:snapToGrid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7EB8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unhideWhenUsed/>
    <w:rsid w:val="00337EB8"/>
    <w:rPr>
      <w:vertAlign w:val="superscript"/>
    </w:rPr>
  </w:style>
  <w:style w:type="character" w:customStyle="1" w:styleId="hps">
    <w:name w:val="hps"/>
    <w:rsid w:val="00337EB8"/>
  </w:style>
  <w:style w:type="character" w:customStyle="1" w:styleId="shorttext">
    <w:name w:val="short_text"/>
    <w:rsid w:val="003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27</cp:revision>
  <dcterms:created xsi:type="dcterms:W3CDTF">2014-08-20T14:34:00Z</dcterms:created>
  <dcterms:modified xsi:type="dcterms:W3CDTF">2019-05-17T14:24:00Z</dcterms:modified>
</cp:coreProperties>
</file>